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82B69" w14:textId="77777777" w:rsidR="005B4E6B" w:rsidRDefault="005B4E6B" w:rsidP="005B4E6B">
      <w:pPr>
        <w:jc w:val="center"/>
        <w:rPr>
          <w:b/>
          <w:bCs/>
          <w:sz w:val="28"/>
          <w:szCs w:val="28"/>
        </w:rPr>
      </w:pPr>
      <w:r w:rsidRPr="005B4E6B">
        <w:rPr>
          <w:b/>
          <w:bCs/>
          <w:sz w:val="28"/>
          <w:szCs w:val="28"/>
        </w:rPr>
        <w:t>On Australian Research Council funding over the last 10 years</w:t>
      </w:r>
    </w:p>
    <w:p w14:paraId="3F1FD308" w14:textId="77777777" w:rsidR="005B4E6B" w:rsidRPr="005B4E6B" w:rsidRDefault="005B4E6B" w:rsidP="005B4E6B">
      <w:pPr>
        <w:jc w:val="center"/>
        <w:rPr>
          <w:b/>
          <w:bCs/>
          <w:sz w:val="28"/>
          <w:szCs w:val="28"/>
        </w:rPr>
      </w:pPr>
    </w:p>
    <w:p w14:paraId="1876216E" w14:textId="23194C92" w:rsidR="005B4E6B" w:rsidRDefault="00586F8A" w:rsidP="005B4E6B">
      <w:pPr>
        <w:spacing w:line="276" w:lineRule="auto"/>
      </w:pPr>
      <w:r>
        <w:t>Mathematics of Computation and Optimisation (</w:t>
      </w:r>
      <w:r w:rsidR="005B4E6B">
        <w:t>MoCaO</w:t>
      </w:r>
      <w:r>
        <w:t>)</w:t>
      </w:r>
      <w:r w:rsidR="005B4E6B">
        <w:t xml:space="preserve"> (</w:t>
      </w:r>
      <w:hyperlink r:id="rId6">
        <w:r w:rsidR="005B4E6B" w:rsidRPr="6EE2990F">
          <w:rPr>
            <w:rStyle w:val="Hyperlink"/>
          </w:rPr>
          <w:t>www.mocao.org</w:t>
        </w:r>
      </w:hyperlink>
      <w:r w:rsidR="005B4E6B">
        <w:t>) represents</w:t>
      </w:r>
      <w:r>
        <w:t xml:space="preserve"> more than 250 Australian mathematicians</w:t>
      </w:r>
      <w:r w:rsidR="00BF17C2">
        <w:t xml:space="preserve"> </w:t>
      </w:r>
      <w:r w:rsidR="00703625">
        <w:t xml:space="preserve">involved in the development of modern computational techniques for </w:t>
      </w:r>
      <w:r w:rsidR="007904AA">
        <w:t>modern data science</w:t>
      </w:r>
      <w:r w:rsidR="00703625">
        <w:t xml:space="preserve">, </w:t>
      </w:r>
      <w:r w:rsidR="007904AA">
        <w:t>machine learning</w:t>
      </w:r>
      <w:r w:rsidR="00703625">
        <w:t xml:space="preserve"> and physical modelling.</w:t>
      </w:r>
      <w:r w:rsidR="00201908">
        <w:t xml:space="preserve"> These computational techniques are the vital engines that power the software utilized by researchers in the latter fields (the analogy of </w:t>
      </w:r>
      <w:r w:rsidR="00490F03">
        <w:t xml:space="preserve">maths </w:t>
      </w:r>
      <w:r w:rsidR="00201908">
        <w:t>engines powering software ‘vehicles’ will be used throughout</w:t>
      </w:r>
      <w:r w:rsidR="00490F03">
        <w:t xml:space="preserve"> this report</w:t>
      </w:r>
      <w:r w:rsidR="00201908">
        <w:t>).</w:t>
      </w:r>
      <w:r w:rsidR="00703625">
        <w:t xml:space="preserve"> </w:t>
      </w:r>
      <w:r w:rsidR="008404AB">
        <w:t>M</w:t>
      </w:r>
      <w:r w:rsidR="00201908">
        <w:t>o</w:t>
      </w:r>
      <w:r w:rsidR="008404AB">
        <w:t>C</w:t>
      </w:r>
      <w:r w:rsidR="004E17AB">
        <w:t>a</w:t>
      </w:r>
      <w:r w:rsidR="008404AB">
        <w:t>O</w:t>
      </w:r>
      <w:r w:rsidR="00703625">
        <w:t xml:space="preserve"> is concerned that </w:t>
      </w:r>
      <w:r w:rsidR="005B4E6B">
        <w:t xml:space="preserve">the funding opportunities and the amounts funded </w:t>
      </w:r>
      <w:r w:rsidR="00703625">
        <w:t xml:space="preserve">for critical fundamental research </w:t>
      </w:r>
      <w:r w:rsidR="005B4E6B">
        <w:t>have been in decline for many decades.</w:t>
      </w:r>
      <w:r w:rsidR="005B4E6B">
        <w:br/>
      </w:r>
    </w:p>
    <w:p w14:paraId="06ED3AFA" w14:textId="21B7BB9C" w:rsidR="005B4E6B" w:rsidRDefault="00703625" w:rsidP="005B4E6B">
      <w:pPr>
        <w:spacing w:line="276" w:lineRule="auto"/>
        <w:rPr>
          <w:color w:val="000000" w:themeColor="text1"/>
        </w:rPr>
      </w:pPr>
      <w:r>
        <w:rPr>
          <w:color w:val="000000" w:themeColor="text1"/>
        </w:rPr>
        <w:t>The</w:t>
      </w:r>
      <w:r w:rsidR="00E44BDA">
        <w:rPr>
          <w:color w:val="000000" w:themeColor="text1"/>
        </w:rPr>
        <w:t xml:space="preserve"> </w:t>
      </w:r>
      <w:r w:rsidR="005B4E6B" w:rsidRPr="6EE2990F">
        <w:rPr>
          <w:color w:val="000000" w:themeColor="text1"/>
        </w:rPr>
        <w:t xml:space="preserve">absolute amount of funding has not risen in dollar adjusted terms in this period while on the other hand, here has also been an increase in the number of funded grant streams supported by the government. </w:t>
      </w:r>
    </w:p>
    <w:p w14:paraId="547A197A" w14:textId="77777777" w:rsidR="00D60EED" w:rsidRDefault="00D60EED" w:rsidP="005B4E6B">
      <w:pPr>
        <w:spacing w:line="276" w:lineRule="auto"/>
        <w:rPr>
          <w:color w:val="000000" w:themeColor="text1"/>
        </w:rPr>
      </w:pPr>
    </w:p>
    <w:p w14:paraId="358FBCBF" w14:textId="132C0D61" w:rsidR="00D60EED" w:rsidRDefault="00346870" w:rsidP="005B4E6B">
      <w:pPr>
        <w:spacing w:line="276" w:lineRule="auto"/>
        <w:rPr>
          <w:color w:val="000000" w:themeColor="text1"/>
        </w:rPr>
      </w:pPr>
      <w:r>
        <w:rPr>
          <w:color w:val="000000" w:themeColor="text1"/>
        </w:rPr>
        <w:t xml:space="preserve">Australian Mathematical Sciences Institute (members include Australian Signals Directorate, RBA, and 28 universities) </w:t>
      </w:r>
      <w:r w:rsidR="00F0221D">
        <w:rPr>
          <w:color w:val="000000" w:themeColor="text1"/>
        </w:rPr>
        <w:t>and MATRIX Institute have recently published the report</w:t>
      </w:r>
      <w:hyperlink r:id="rId7" w:history="1"/>
      <w:r w:rsidR="00C33788" w:rsidRPr="00C33788">
        <w:rPr>
          <w:color w:val="000000" w:themeColor="text1"/>
        </w:rPr>
        <w:t xml:space="preserve"> </w:t>
      </w:r>
      <w:hyperlink r:id="rId8" w:history="1">
        <w:r w:rsidR="00C33788" w:rsidRPr="00C33788">
          <w:rPr>
            <w:rStyle w:val="Hyperlink"/>
          </w:rPr>
          <w:t>Research Investment and Expenditure into the Mathematical Sciences</w:t>
        </w:r>
      </w:hyperlink>
      <w:r w:rsidR="00F0221D">
        <w:rPr>
          <w:rStyle w:val="Hyperlink"/>
        </w:rPr>
        <w:t>.</w:t>
      </w:r>
      <w:r w:rsidR="00C33788">
        <w:rPr>
          <w:color w:val="000000" w:themeColor="text1"/>
        </w:rPr>
        <w:t xml:space="preserve"> </w:t>
      </w:r>
      <w:r w:rsidR="00F0221D">
        <w:rPr>
          <w:color w:val="000000" w:themeColor="text1"/>
        </w:rPr>
        <w:t>This report highlights</w:t>
      </w:r>
      <w:r w:rsidR="008979ED">
        <w:rPr>
          <w:color w:val="000000" w:themeColor="text1"/>
        </w:rPr>
        <w:t xml:space="preserve"> critical</w:t>
      </w:r>
      <w:r w:rsidR="00C33788">
        <w:rPr>
          <w:color w:val="000000" w:themeColor="text1"/>
        </w:rPr>
        <w:t xml:space="preserve"> </w:t>
      </w:r>
      <w:r w:rsidR="00F0221D">
        <w:rPr>
          <w:color w:val="000000" w:themeColor="text1"/>
        </w:rPr>
        <w:t xml:space="preserve">shortfalls </w:t>
      </w:r>
      <w:r w:rsidR="00C33788">
        <w:rPr>
          <w:color w:val="000000" w:themeColor="text1"/>
        </w:rPr>
        <w:t>in relation to</w:t>
      </w:r>
      <w:r w:rsidR="00703625">
        <w:rPr>
          <w:color w:val="000000" w:themeColor="text1"/>
        </w:rPr>
        <w:t xml:space="preserve"> funding of research in</w:t>
      </w:r>
      <w:r w:rsidR="00C33788">
        <w:rPr>
          <w:color w:val="000000" w:themeColor="text1"/>
        </w:rPr>
        <w:t xml:space="preserve"> the mathematical sciences. Central to these concern</w:t>
      </w:r>
      <w:r w:rsidR="00A439AB">
        <w:rPr>
          <w:color w:val="000000" w:themeColor="text1"/>
        </w:rPr>
        <w:t>s</w:t>
      </w:r>
      <w:r w:rsidR="00C33788">
        <w:rPr>
          <w:color w:val="000000" w:themeColor="text1"/>
        </w:rPr>
        <w:t xml:space="preserve"> is that </w:t>
      </w:r>
      <w:r w:rsidR="002B7AB8">
        <w:rPr>
          <w:color w:val="000000" w:themeColor="text1"/>
        </w:rPr>
        <w:t xml:space="preserve">funding for the mathematical sciences </w:t>
      </w:r>
      <w:r w:rsidR="00201908">
        <w:rPr>
          <w:color w:val="000000" w:themeColor="text1"/>
        </w:rPr>
        <w:t xml:space="preserve">(the engines) </w:t>
      </w:r>
      <w:r w:rsidR="002B7AB8">
        <w:rPr>
          <w:color w:val="000000" w:themeColor="text1"/>
        </w:rPr>
        <w:t>has decreased</w:t>
      </w:r>
      <w:r w:rsidR="00201908">
        <w:rPr>
          <w:color w:val="000000" w:themeColor="text1"/>
        </w:rPr>
        <w:t>,</w:t>
      </w:r>
      <w:r w:rsidR="002B7AB8">
        <w:rPr>
          <w:color w:val="000000" w:themeColor="text1"/>
        </w:rPr>
        <w:t xml:space="preserve"> as more funding has been diverted to applied research </w:t>
      </w:r>
      <w:r w:rsidR="00201908">
        <w:rPr>
          <w:color w:val="000000" w:themeColor="text1"/>
        </w:rPr>
        <w:t>(the projects made possible by the software ‘vehicles’).  This is to</w:t>
      </w:r>
      <w:r w:rsidR="002B7AB8">
        <w:rPr>
          <w:color w:val="000000" w:themeColor="text1"/>
        </w:rPr>
        <w:t xml:space="preserve"> the </w:t>
      </w:r>
      <w:r w:rsidR="00201908">
        <w:rPr>
          <w:color w:val="000000" w:themeColor="text1"/>
        </w:rPr>
        <w:t xml:space="preserve">direct </w:t>
      </w:r>
      <w:r w:rsidR="002B7AB8">
        <w:rPr>
          <w:color w:val="000000" w:themeColor="text1"/>
        </w:rPr>
        <w:t xml:space="preserve">detriment of </w:t>
      </w:r>
      <w:r w:rsidR="00201908">
        <w:rPr>
          <w:color w:val="000000" w:themeColor="text1"/>
        </w:rPr>
        <w:t>fundamental</w:t>
      </w:r>
      <w:r w:rsidR="002B7AB8" w:rsidRPr="002B7AB8">
        <w:rPr>
          <w:color w:val="000000" w:themeColor="text1"/>
        </w:rPr>
        <w:t xml:space="preserve"> research</w:t>
      </w:r>
      <w:r w:rsidR="00201908">
        <w:rPr>
          <w:color w:val="000000" w:themeColor="text1"/>
        </w:rPr>
        <w:t>, and to the broader detriment of all, since large-scale modern problems faced by Australian industry require ever more powerful mathematical engines</w:t>
      </w:r>
      <w:r w:rsidR="002B7AB8">
        <w:rPr>
          <w:color w:val="000000" w:themeColor="text1"/>
        </w:rPr>
        <w:t xml:space="preserve">. </w:t>
      </w:r>
      <w:r w:rsidR="00E45FAF">
        <w:rPr>
          <w:color w:val="000000" w:themeColor="text1"/>
        </w:rPr>
        <w:t xml:space="preserve">The report also notes </w:t>
      </w:r>
      <w:r w:rsidR="002B7AB8">
        <w:rPr>
          <w:color w:val="000000" w:themeColor="text1"/>
        </w:rPr>
        <w:t>that “</w:t>
      </w:r>
      <w:r w:rsidR="002B7AB8" w:rsidRPr="002B7AB8">
        <w:rPr>
          <w:color w:val="000000" w:themeColor="text1"/>
        </w:rPr>
        <w:t>ARC investment in the schemes most relevant to the Mathematical Sciences</w:t>
      </w:r>
      <w:r w:rsidR="002B7AB8">
        <w:rPr>
          <w:color w:val="000000" w:themeColor="text1"/>
        </w:rPr>
        <w:t xml:space="preserve"> </w:t>
      </w:r>
      <w:r w:rsidR="003C4754">
        <w:rPr>
          <w:color w:val="000000" w:themeColor="text1"/>
        </w:rPr>
        <w:t>.</w:t>
      </w:r>
      <w:r w:rsidR="002B7AB8">
        <w:rPr>
          <w:color w:val="000000" w:themeColor="text1"/>
        </w:rPr>
        <w:t xml:space="preserve">.. </w:t>
      </w:r>
      <w:r w:rsidR="002B7AB8" w:rsidRPr="002B7AB8">
        <w:rPr>
          <w:color w:val="000000" w:themeColor="text1"/>
        </w:rPr>
        <w:t>is roughly on par with investment in other STEMM disciplines, except for a noticeable drop in DECRAs.</w:t>
      </w:r>
      <w:r w:rsidR="002B7AB8">
        <w:rPr>
          <w:color w:val="000000" w:themeColor="text1"/>
        </w:rPr>
        <w:t xml:space="preserve">” Despite this being true in relative terms (i.e. in relation to overall funding in ARC Discovery grants etc) </w:t>
      </w:r>
      <w:r w:rsidR="00A439AB">
        <w:rPr>
          <w:color w:val="000000" w:themeColor="text1"/>
        </w:rPr>
        <w:t>MoCaO</w:t>
      </w:r>
      <w:r w:rsidR="002B7AB8">
        <w:rPr>
          <w:color w:val="000000" w:themeColor="text1"/>
        </w:rPr>
        <w:t xml:space="preserve"> remain</w:t>
      </w:r>
      <w:r w:rsidR="00A439AB">
        <w:rPr>
          <w:color w:val="000000" w:themeColor="text1"/>
        </w:rPr>
        <w:t>s</w:t>
      </w:r>
      <w:r w:rsidR="002B7AB8">
        <w:rPr>
          <w:color w:val="000000" w:themeColor="text1"/>
        </w:rPr>
        <w:t xml:space="preserve"> concerned, as a representative body for the computational mathematical sciences, that this assessment hides the reduction of funding in absolute terms during this last 10year period in funding of ARC DP grants. </w:t>
      </w:r>
      <w:r w:rsidR="005A4382">
        <w:rPr>
          <w:color w:val="000000" w:themeColor="text1"/>
        </w:rPr>
        <w:t xml:space="preserve">The decline in DECRA funding is particularly alarming, as it could accelerate the exit of </w:t>
      </w:r>
      <w:r w:rsidR="00201908">
        <w:rPr>
          <w:color w:val="000000" w:themeColor="text1"/>
        </w:rPr>
        <w:t xml:space="preserve">new </w:t>
      </w:r>
      <w:r w:rsidR="005A4382">
        <w:rPr>
          <w:color w:val="000000" w:themeColor="text1"/>
        </w:rPr>
        <w:t xml:space="preserve">talent from research. At AMSI Summer School Careers Day, companies routinely advertise salaries in excess of $250,000 for students with PhDs in computational mathematics. </w:t>
      </w:r>
    </w:p>
    <w:p w14:paraId="55FC3D45" w14:textId="409DDFF6" w:rsidR="005B4E6B" w:rsidRDefault="005B4E6B" w:rsidP="005B4E6B">
      <w:pPr>
        <w:spacing w:line="276" w:lineRule="auto"/>
        <w:rPr>
          <w:color w:val="000000" w:themeColor="text1"/>
        </w:rPr>
      </w:pPr>
      <w:r>
        <w:rPr>
          <w:color w:val="000000" w:themeColor="text1"/>
        </w:rPr>
        <w:br/>
      </w:r>
      <w:r w:rsidRPr="6EE2990F">
        <w:rPr>
          <w:color w:val="000000" w:themeColor="text1"/>
        </w:rPr>
        <w:t>In the table below, the total amount (in AUD) of ARC/DP grants in all areas of mathematics per year over the last decade is shown. The number at each row represents the total value awarded to ARD/DP grants that year with FoR codes 0101 (Pure Mathematics, 0102 (Applied Mathematics) and 0103 (Numerical and Computational Mathematics).  We then used the Reserve Bank of Australia's site</w:t>
      </w:r>
      <w:r w:rsidR="005A4382">
        <w:rPr>
          <w:color w:val="000000" w:themeColor="text1"/>
        </w:rPr>
        <w:t xml:space="preserve"> </w:t>
      </w:r>
      <w:r w:rsidRPr="6EE2990F">
        <w:rPr>
          <w:color w:val="000000" w:themeColor="text1"/>
        </w:rPr>
        <w:t>to convert the figures to the current dollar values.</w:t>
      </w:r>
      <w:r>
        <w:rPr>
          <w:color w:val="000000" w:themeColor="text1"/>
        </w:rPr>
        <w:br/>
      </w:r>
    </w:p>
    <w:p w14:paraId="48C75F9A" w14:textId="6A178F9A" w:rsidR="005B4E6B" w:rsidRDefault="005B4E6B" w:rsidP="005B4E6B">
      <w:pPr>
        <w:spacing w:line="276" w:lineRule="auto"/>
      </w:pPr>
      <w:r>
        <w:t>The data, in today dollars, is displayed in Figure 1. In ten years, the funding for ARC/DP grants has been essentially halved.</w:t>
      </w:r>
    </w:p>
    <w:p w14:paraId="23AB6120" w14:textId="77777777" w:rsidR="005B4E6B" w:rsidRDefault="005B4E6B" w:rsidP="005B4E6B">
      <w:pPr>
        <w:jc w:val="both"/>
      </w:pPr>
    </w:p>
    <w:tbl>
      <w:tblPr>
        <w:tblStyle w:val="TableGrid"/>
        <w:tblW w:w="0" w:type="auto"/>
        <w:tblInd w:w="2405" w:type="dxa"/>
        <w:tblLook w:val="04A0" w:firstRow="1" w:lastRow="0" w:firstColumn="1" w:lastColumn="0" w:noHBand="0" w:noVBand="1"/>
      </w:tblPr>
      <w:tblGrid>
        <w:gridCol w:w="2103"/>
        <w:gridCol w:w="2291"/>
      </w:tblGrid>
      <w:tr w:rsidR="005B4E6B" w14:paraId="2900FD27" w14:textId="77777777" w:rsidTr="00C46B5B">
        <w:tc>
          <w:tcPr>
            <w:tcW w:w="2103" w:type="dxa"/>
          </w:tcPr>
          <w:p w14:paraId="00B9DBBA" w14:textId="77777777" w:rsidR="005B4E6B" w:rsidRDefault="005B4E6B" w:rsidP="00C46B5B">
            <w:pPr>
              <w:jc w:val="both"/>
            </w:pPr>
            <w:r>
              <w:t>Year</w:t>
            </w:r>
          </w:p>
        </w:tc>
        <w:tc>
          <w:tcPr>
            <w:tcW w:w="2291" w:type="dxa"/>
          </w:tcPr>
          <w:p w14:paraId="752F0C8A" w14:textId="77777777" w:rsidR="005B4E6B" w:rsidRDefault="005B4E6B" w:rsidP="00C46B5B">
            <w:pPr>
              <w:jc w:val="both"/>
            </w:pPr>
            <w:r>
              <w:t>Amount in AUD</w:t>
            </w:r>
          </w:p>
        </w:tc>
      </w:tr>
      <w:tr w:rsidR="005B4E6B" w14:paraId="005298A6" w14:textId="77777777" w:rsidTr="00C46B5B">
        <w:tc>
          <w:tcPr>
            <w:tcW w:w="2103" w:type="dxa"/>
          </w:tcPr>
          <w:p w14:paraId="25FC794B" w14:textId="77777777" w:rsidR="005B4E6B" w:rsidRDefault="005B4E6B" w:rsidP="00C46B5B">
            <w:pPr>
              <w:jc w:val="both"/>
            </w:pPr>
            <w:r>
              <w:t>2022</w:t>
            </w:r>
          </w:p>
        </w:tc>
        <w:tc>
          <w:tcPr>
            <w:tcW w:w="2291" w:type="dxa"/>
          </w:tcPr>
          <w:p w14:paraId="61C5E798" w14:textId="77777777" w:rsidR="005B4E6B" w:rsidRDefault="005B4E6B" w:rsidP="00C46B5B">
            <w:pPr>
              <w:jc w:val="both"/>
            </w:pPr>
            <w:r>
              <w:t xml:space="preserve">  9929000</w:t>
            </w:r>
          </w:p>
        </w:tc>
      </w:tr>
      <w:tr w:rsidR="005B4E6B" w14:paraId="23A7606C" w14:textId="77777777" w:rsidTr="00C46B5B">
        <w:tc>
          <w:tcPr>
            <w:tcW w:w="2103" w:type="dxa"/>
          </w:tcPr>
          <w:p w14:paraId="7BB6D764" w14:textId="77777777" w:rsidR="005B4E6B" w:rsidRDefault="005B4E6B" w:rsidP="00C46B5B">
            <w:r>
              <w:lastRenderedPageBreak/>
              <w:t>2021</w:t>
            </w:r>
          </w:p>
        </w:tc>
        <w:tc>
          <w:tcPr>
            <w:tcW w:w="2291" w:type="dxa"/>
          </w:tcPr>
          <w:p w14:paraId="30721549" w14:textId="77777777" w:rsidR="005B4E6B" w:rsidRDefault="005B4E6B" w:rsidP="00C46B5B">
            <w:r>
              <w:t>10462488</w:t>
            </w:r>
          </w:p>
        </w:tc>
      </w:tr>
      <w:tr w:rsidR="005B4E6B" w14:paraId="3FA076CB" w14:textId="77777777" w:rsidTr="00C46B5B">
        <w:tc>
          <w:tcPr>
            <w:tcW w:w="2103" w:type="dxa"/>
          </w:tcPr>
          <w:p w14:paraId="672ACCF9" w14:textId="77777777" w:rsidR="005B4E6B" w:rsidRDefault="005B4E6B" w:rsidP="00C46B5B">
            <w:r>
              <w:t>2020</w:t>
            </w:r>
          </w:p>
        </w:tc>
        <w:tc>
          <w:tcPr>
            <w:tcW w:w="2291" w:type="dxa"/>
          </w:tcPr>
          <w:p w14:paraId="70066012" w14:textId="77777777" w:rsidR="005B4E6B" w:rsidRDefault="005B4E6B" w:rsidP="00C46B5B">
            <w:r>
              <w:t>11593438</w:t>
            </w:r>
          </w:p>
        </w:tc>
      </w:tr>
      <w:tr w:rsidR="005B4E6B" w14:paraId="6FEA8175" w14:textId="77777777" w:rsidTr="00C46B5B">
        <w:tc>
          <w:tcPr>
            <w:tcW w:w="2103" w:type="dxa"/>
          </w:tcPr>
          <w:p w14:paraId="09FA2516" w14:textId="77777777" w:rsidR="005B4E6B" w:rsidRDefault="005B4E6B" w:rsidP="00C46B5B">
            <w:r>
              <w:t>2019</w:t>
            </w:r>
          </w:p>
        </w:tc>
        <w:tc>
          <w:tcPr>
            <w:tcW w:w="2291" w:type="dxa"/>
          </w:tcPr>
          <w:p w14:paraId="5C6D8093" w14:textId="77777777" w:rsidR="005B4E6B" w:rsidRDefault="005B4E6B" w:rsidP="00C46B5B">
            <w:r>
              <w:t>11178546</w:t>
            </w:r>
          </w:p>
        </w:tc>
      </w:tr>
      <w:tr w:rsidR="005B4E6B" w14:paraId="3A024900" w14:textId="77777777" w:rsidTr="00C46B5B">
        <w:tc>
          <w:tcPr>
            <w:tcW w:w="2103" w:type="dxa"/>
          </w:tcPr>
          <w:p w14:paraId="12756197" w14:textId="77777777" w:rsidR="005B4E6B" w:rsidRDefault="005B4E6B" w:rsidP="00C46B5B">
            <w:r>
              <w:t>2018</w:t>
            </w:r>
          </w:p>
        </w:tc>
        <w:tc>
          <w:tcPr>
            <w:tcW w:w="2291" w:type="dxa"/>
          </w:tcPr>
          <w:p w14:paraId="3C2D898A" w14:textId="77777777" w:rsidR="005B4E6B" w:rsidRDefault="005B4E6B" w:rsidP="00C46B5B">
            <w:r>
              <w:t>12240632</w:t>
            </w:r>
          </w:p>
        </w:tc>
      </w:tr>
      <w:tr w:rsidR="005B4E6B" w14:paraId="32C9A9B8" w14:textId="77777777" w:rsidTr="00C46B5B">
        <w:tc>
          <w:tcPr>
            <w:tcW w:w="2103" w:type="dxa"/>
          </w:tcPr>
          <w:p w14:paraId="04B764FD" w14:textId="77777777" w:rsidR="005B4E6B" w:rsidRDefault="005B4E6B" w:rsidP="00C46B5B">
            <w:r>
              <w:t>2017</w:t>
            </w:r>
          </w:p>
        </w:tc>
        <w:tc>
          <w:tcPr>
            <w:tcW w:w="2291" w:type="dxa"/>
          </w:tcPr>
          <w:p w14:paraId="0AA9E52D" w14:textId="77777777" w:rsidR="005B4E6B" w:rsidRDefault="005B4E6B" w:rsidP="00C46B5B">
            <w:r>
              <w:t xml:space="preserve">  9063642</w:t>
            </w:r>
          </w:p>
        </w:tc>
      </w:tr>
      <w:tr w:rsidR="005B4E6B" w14:paraId="22A81474" w14:textId="77777777" w:rsidTr="00C46B5B">
        <w:tc>
          <w:tcPr>
            <w:tcW w:w="2103" w:type="dxa"/>
          </w:tcPr>
          <w:p w14:paraId="7D80BE6C" w14:textId="77777777" w:rsidR="005B4E6B" w:rsidRDefault="005B4E6B" w:rsidP="00C46B5B">
            <w:r>
              <w:t>2016</w:t>
            </w:r>
          </w:p>
        </w:tc>
        <w:tc>
          <w:tcPr>
            <w:tcW w:w="2291" w:type="dxa"/>
          </w:tcPr>
          <w:p w14:paraId="4F16397B" w14:textId="77777777" w:rsidR="005B4E6B" w:rsidRDefault="005B4E6B" w:rsidP="00C46B5B">
            <w:r>
              <w:t>12816771</w:t>
            </w:r>
          </w:p>
        </w:tc>
      </w:tr>
      <w:tr w:rsidR="005B4E6B" w14:paraId="702FBD43" w14:textId="77777777" w:rsidTr="00C46B5B">
        <w:tc>
          <w:tcPr>
            <w:tcW w:w="2103" w:type="dxa"/>
          </w:tcPr>
          <w:p w14:paraId="252567C8" w14:textId="77777777" w:rsidR="005B4E6B" w:rsidRDefault="005B4E6B" w:rsidP="00C46B5B">
            <w:r>
              <w:t>2015</w:t>
            </w:r>
          </w:p>
        </w:tc>
        <w:tc>
          <w:tcPr>
            <w:tcW w:w="2291" w:type="dxa"/>
          </w:tcPr>
          <w:p w14:paraId="270B1BA1" w14:textId="77777777" w:rsidR="005B4E6B" w:rsidRDefault="005B4E6B" w:rsidP="00C46B5B">
            <w:r>
              <w:t>11162100</w:t>
            </w:r>
          </w:p>
        </w:tc>
      </w:tr>
      <w:tr w:rsidR="005B4E6B" w14:paraId="29A6398B" w14:textId="77777777" w:rsidTr="00C46B5B">
        <w:tc>
          <w:tcPr>
            <w:tcW w:w="2103" w:type="dxa"/>
          </w:tcPr>
          <w:p w14:paraId="727CA202" w14:textId="77777777" w:rsidR="005B4E6B" w:rsidRDefault="005B4E6B" w:rsidP="00C46B5B">
            <w:r>
              <w:t>2014</w:t>
            </w:r>
          </w:p>
        </w:tc>
        <w:tc>
          <w:tcPr>
            <w:tcW w:w="2291" w:type="dxa"/>
          </w:tcPr>
          <w:p w14:paraId="32600B82" w14:textId="77777777" w:rsidR="005B4E6B" w:rsidRDefault="005B4E6B" w:rsidP="00C46B5B">
            <w:r>
              <w:t>14582737</w:t>
            </w:r>
          </w:p>
        </w:tc>
      </w:tr>
      <w:tr w:rsidR="005B4E6B" w14:paraId="1E964028" w14:textId="77777777" w:rsidTr="00C46B5B">
        <w:tc>
          <w:tcPr>
            <w:tcW w:w="2103" w:type="dxa"/>
          </w:tcPr>
          <w:p w14:paraId="68FA4FA0" w14:textId="77777777" w:rsidR="005B4E6B" w:rsidRDefault="005B4E6B" w:rsidP="00C46B5B">
            <w:r>
              <w:t>2013</w:t>
            </w:r>
          </w:p>
        </w:tc>
        <w:tc>
          <w:tcPr>
            <w:tcW w:w="2291" w:type="dxa"/>
          </w:tcPr>
          <w:p w14:paraId="65CDADED" w14:textId="77777777" w:rsidR="005B4E6B" w:rsidRDefault="005B4E6B" w:rsidP="00C46B5B">
            <w:r>
              <w:t>12386233</w:t>
            </w:r>
          </w:p>
        </w:tc>
      </w:tr>
      <w:tr w:rsidR="005B4E6B" w14:paraId="6782573A" w14:textId="77777777" w:rsidTr="00C46B5B">
        <w:tc>
          <w:tcPr>
            <w:tcW w:w="2103" w:type="dxa"/>
          </w:tcPr>
          <w:p w14:paraId="0527F6F5" w14:textId="77777777" w:rsidR="005B4E6B" w:rsidRDefault="005B4E6B" w:rsidP="00C46B5B">
            <w:r>
              <w:t>2012</w:t>
            </w:r>
          </w:p>
        </w:tc>
        <w:tc>
          <w:tcPr>
            <w:tcW w:w="2291" w:type="dxa"/>
          </w:tcPr>
          <w:p w14:paraId="6939BFDC" w14:textId="77777777" w:rsidR="005B4E6B" w:rsidRDefault="005B4E6B" w:rsidP="00C46B5B">
            <w:r>
              <w:t>16461942</w:t>
            </w:r>
          </w:p>
        </w:tc>
      </w:tr>
      <w:tr w:rsidR="005B4E6B" w14:paraId="22C9B8AF" w14:textId="77777777" w:rsidTr="00C46B5B">
        <w:tc>
          <w:tcPr>
            <w:tcW w:w="2103" w:type="dxa"/>
          </w:tcPr>
          <w:p w14:paraId="0E593306" w14:textId="77777777" w:rsidR="005B4E6B" w:rsidRDefault="005B4E6B" w:rsidP="00C46B5B">
            <w:r>
              <w:t>2011</w:t>
            </w:r>
          </w:p>
        </w:tc>
        <w:tc>
          <w:tcPr>
            <w:tcW w:w="2291" w:type="dxa"/>
          </w:tcPr>
          <w:p w14:paraId="0F0736B0" w14:textId="77777777" w:rsidR="005B4E6B" w:rsidRDefault="005B4E6B" w:rsidP="00C46B5B">
            <w:r>
              <w:t>15495628</w:t>
            </w:r>
          </w:p>
        </w:tc>
      </w:tr>
    </w:tbl>
    <w:p w14:paraId="2FBED4A3" w14:textId="77777777" w:rsidR="005B4E6B" w:rsidRDefault="005B4E6B" w:rsidP="005B4E6B">
      <w:pPr>
        <w:jc w:val="center"/>
      </w:pPr>
      <w:r>
        <w:t xml:space="preserve">Total amount of </w:t>
      </w:r>
      <w:r w:rsidRPr="001F7233">
        <w:t>ARC/DP grants in pure/applied/computational</w:t>
      </w:r>
      <w:r>
        <w:t xml:space="preserve"> maths. Data extracted from “</w:t>
      </w:r>
      <w:r w:rsidRPr="001F7233">
        <w:t>Yearly_funding_allocation_Nov2022.xlsx</w:t>
      </w:r>
      <w:r>
        <w:t xml:space="preserve">” which is available publicly at </w:t>
      </w:r>
      <w:hyperlink r:id="rId9" w:history="1">
        <w:r w:rsidRPr="003272DE">
          <w:rPr>
            <w:rStyle w:val="Hyperlink"/>
          </w:rPr>
          <w:t>https://www.arc.gov.au/funding-research/funding-outcome/grants-dataset</w:t>
        </w:r>
      </w:hyperlink>
    </w:p>
    <w:p w14:paraId="46F03A7F" w14:textId="77777777" w:rsidR="005B4E6B" w:rsidRDefault="005B4E6B" w:rsidP="005B4E6B"/>
    <w:p w14:paraId="0900E658" w14:textId="77777777" w:rsidR="005B4E6B" w:rsidRDefault="005B4E6B" w:rsidP="005B4E6B">
      <w:r>
        <w:rPr>
          <w:noProof/>
        </w:rPr>
        <w:drawing>
          <wp:inline distT="0" distB="0" distL="0" distR="0" wp14:anchorId="3F1452C6" wp14:editId="1A0EC381">
            <wp:extent cx="4572000" cy="3000375"/>
            <wp:effectExtent l="152400" t="152400" r="323850" b="333375"/>
            <wp:docPr id="1105621950" name="Picture 1105621950" descr="A graph with blue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21950" name="Picture 1105621950" descr="A graph with blue lines and numbers&#10;&#10;Description automatically generated"/>
                    <pic:cNvPicPr/>
                  </pic:nvPicPr>
                  <pic:blipFill>
                    <a:blip r:embed="rId10">
                      <a:extLst>
                        <a:ext uri="{28A0092B-C50C-407E-A947-70E740481C1C}">
                          <a14:useLocalDpi xmlns:a14="http://schemas.microsoft.com/office/drawing/2010/main" val="0"/>
                        </a:ext>
                      </a:extLst>
                    </a:blip>
                    <a:srcRect/>
                    <a:stretch>
                      <a:fillRect/>
                    </a:stretch>
                  </pic:blipFill>
                  <pic:spPr>
                    <a:xfrm>
                      <a:off x="0" y="0"/>
                      <a:ext cx="4572000" cy="3000375"/>
                    </a:xfrm>
                    <a:prstGeom prst="rect">
                      <a:avLst/>
                    </a:prstGeom>
                    <a:ln>
                      <a:noFill/>
                    </a:ln>
                    <a:effectLst>
                      <a:outerShdw blurRad="292100" dist="139700" dir="2700000" algn="tl" rotWithShape="0">
                        <a:srgbClr val="333333">
                          <a:alpha val="65000"/>
                        </a:srgbClr>
                      </a:outerShdw>
                    </a:effectLst>
                  </pic:spPr>
                </pic:pic>
              </a:graphicData>
            </a:graphic>
          </wp:inline>
        </w:drawing>
      </w:r>
    </w:p>
    <w:p w14:paraId="02916709" w14:textId="77777777" w:rsidR="005B4E6B" w:rsidRDefault="005B4E6B" w:rsidP="005B4E6B">
      <w:r>
        <w:t xml:space="preserve">         Fig 1. Total ARC/DP funding for mathematics in today dollars.</w:t>
      </w:r>
    </w:p>
    <w:p w14:paraId="1F2A6611" w14:textId="77777777" w:rsidR="005B4E6B" w:rsidRDefault="005B4E6B" w:rsidP="005B4E6B">
      <w:pPr>
        <w:rPr>
          <w:rFonts w:ascii="Arial Unicode MS" w:eastAsia="Arial Unicode MS" w:hAnsi="Arial Unicode MS" w:cs="Arial Unicode MS"/>
          <w:sz w:val="28"/>
          <w:szCs w:val="28"/>
        </w:rPr>
      </w:pPr>
    </w:p>
    <w:p w14:paraId="61227B2F" w14:textId="2F83A4AA" w:rsidR="006E7AF1" w:rsidRDefault="00DE35D4">
      <w:pPr>
        <w:rPr>
          <w:color w:val="000000" w:themeColor="text1"/>
        </w:rPr>
      </w:pPr>
      <w:r>
        <w:rPr>
          <w:color w:val="000000" w:themeColor="text1"/>
        </w:rPr>
        <w:t>The</w:t>
      </w:r>
      <w:r w:rsidR="00A439AB">
        <w:rPr>
          <w:color w:val="000000" w:themeColor="text1"/>
        </w:rPr>
        <w:t xml:space="preserve"> executive summary of the</w:t>
      </w:r>
      <w:r>
        <w:rPr>
          <w:color w:val="000000" w:themeColor="text1"/>
        </w:rPr>
        <w:t xml:space="preserve"> AMSI-MATRIX report </w:t>
      </w:r>
      <w:hyperlink r:id="rId11" w:history="1"/>
      <w:r w:rsidRPr="00C33788">
        <w:rPr>
          <w:color w:val="000000" w:themeColor="text1"/>
        </w:rPr>
        <w:t xml:space="preserve"> </w:t>
      </w:r>
      <w:r>
        <w:rPr>
          <w:color w:val="000000" w:themeColor="text1"/>
        </w:rPr>
        <w:t>“</w:t>
      </w:r>
      <w:hyperlink r:id="rId12" w:history="1">
        <w:r w:rsidRPr="00C33788">
          <w:rPr>
            <w:rStyle w:val="Hyperlink"/>
          </w:rPr>
          <w:t>Research Investment and Expenditure into the Mathematical Sciences</w:t>
        </w:r>
      </w:hyperlink>
      <w:r>
        <w:rPr>
          <w:color w:val="000000" w:themeColor="text1"/>
        </w:rPr>
        <w:t>” states: “</w:t>
      </w:r>
      <w:r w:rsidRPr="00DE35D4">
        <w:rPr>
          <w:color w:val="000000" w:themeColor="text1"/>
        </w:rPr>
        <w:t>Basic research should be properly funded for Australia’s long</w:t>
      </w:r>
      <w:r w:rsidR="00A439AB">
        <w:rPr>
          <w:color w:val="000000" w:themeColor="text1"/>
        </w:rPr>
        <w:t xml:space="preserve"> </w:t>
      </w:r>
      <w:r w:rsidRPr="00DE35D4">
        <w:rPr>
          <w:color w:val="000000" w:themeColor="text1"/>
        </w:rPr>
        <w:t>term prosperity. In addition, it is essential that research facilities in the Mathematical Sciences are well supported as National Research Infrastructure.</w:t>
      </w:r>
      <w:r w:rsidR="00A439AB">
        <w:rPr>
          <w:color w:val="000000" w:themeColor="text1"/>
        </w:rPr>
        <w:t xml:space="preserve">” MoCaO </w:t>
      </w:r>
      <w:r w:rsidR="0034302E">
        <w:rPr>
          <w:color w:val="000000" w:themeColor="text1"/>
        </w:rPr>
        <w:t>emphasizes</w:t>
      </w:r>
      <w:r w:rsidR="00A439AB">
        <w:rPr>
          <w:color w:val="000000" w:themeColor="text1"/>
        </w:rPr>
        <w:t xml:space="preserve"> that the reduce</w:t>
      </w:r>
      <w:r w:rsidR="0034302E">
        <w:rPr>
          <w:color w:val="000000" w:themeColor="text1"/>
        </w:rPr>
        <w:t>d</w:t>
      </w:r>
      <w:r w:rsidR="00A439AB">
        <w:rPr>
          <w:color w:val="000000" w:themeColor="text1"/>
        </w:rPr>
        <w:t xml:space="preserve"> funding opportunities in ARC\DP and </w:t>
      </w:r>
      <w:r w:rsidR="0034302E">
        <w:rPr>
          <w:color w:val="000000" w:themeColor="text1"/>
        </w:rPr>
        <w:t xml:space="preserve">DECRA </w:t>
      </w:r>
      <w:r w:rsidR="00A439AB">
        <w:rPr>
          <w:color w:val="000000" w:themeColor="text1"/>
        </w:rPr>
        <w:t xml:space="preserve">grants is having a particularly detrimental impact on the career opportunities for younger emerging researchers in the mathematical sciences in Australia. </w:t>
      </w:r>
      <w:r w:rsidR="001211DE">
        <w:rPr>
          <w:color w:val="000000" w:themeColor="text1"/>
        </w:rPr>
        <w:t xml:space="preserve">This has the potential to inflict longer term damage to </w:t>
      </w:r>
      <w:r w:rsidR="00043DE6">
        <w:rPr>
          <w:color w:val="000000" w:themeColor="text1"/>
        </w:rPr>
        <w:t xml:space="preserve">Australia’s international standing in the Mathematical Sciences. </w:t>
      </w:r>
    </w:p>
    <w:p w14:paraId="1341C2F3" w14:textId="77777777" w:rsidR="009D29AD" w:rsidRDefault="009D29AD">
      <w:pPr>
        <w:rPr>
          <w:color w:val="000000" w:themeColor="text1"/>
        </w:rPr>
      </w:pPr>
    </w:p>
    <w:p w14:paraId="2C51D7F7" w14:textId="3C399370" w:rsidR="009D29AD" w:rsidRPr="005B4E6B" w:rsidRDefault="009D29AD">
      <w:pPr>
        <w:rPr>
          <w:rFonts w:ascii="Arial Unicode MS" w:eastAsia="Arial Unicode MS" w:hAnsi="Arial Unicode MS" w:cs="Arial Unicode MS"/>
          <w:sz w:val="28"/>
          <w:szCs w:val="28"/>
        </w:rPr>
      </w:pPr>
    </w:p>
    <w:sectPr w:rsidR="009D29AD" w:rsidRPr="005B4E6B">
      <w:headerReference w:type="even" r:id="rId13"/>
      <w:head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E66B3" w14:textId="77777777" w:rsidR="00BD5CF2" w:rsidRDefault="00BD5CF2" w:rsidP="005B4E6B">
      <w:r>
        <w:separator/>
      </w:r>
    </w:p>
  </w:endnote>
  <w:endnote w:type="continuationSeparator" w:id="0">
    <w:p w14:paraId="0086DB31" w14:textId="77777777" w:rsidR="00BD5CF2" w:rsidRDefault="00BD5CF2" w:rsidP="005B4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12BCF" w14:textId="77777777" w:rsidR="00BD5CF2" w:rsidRDefault="00BD5CF2" w:rsidP="005B4E6B">
      <w:r>
        <w:separator/>
      </w:r>
    </w:p>
  </w:footnote>
  <w:footnote w:type="continuationSeparator" w:id="0">
    <w:p w14:paraId="0672F983" w14:textId="77777777" w:rsidR="00BD5CF2" w:rsidRDefault="00BD5CF2" w:rsidP="005B4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BCA7" w14:textId="4426D190" w:rsidR="005B4E6B" w:rsidRDefault="005B4E6B">
    <w:pPr>
      <w:pStyle w:val="Header"/>
    </w:pPr>
    <w:r>
      <w:rPr>
        <w:noProof/>
        <w14:ligatures w14:val="standardContextual"/>
      </w:rPr>
      <mc:AlternateContent>
        <mc:Choice Requires="wps">
          <w:drawing>
            <wp:anchor distT="0" distB="0" distL="0" distR="0" simplePos="0" relativeHeight="251659264" behindDoc="0" locked="0" layoutInCell="1" allowOverlap="1" wp14:anchorId="204256A8" wp14:editId="2CE61972">
              <wp:simplePos x="635" y="635"/>
              <wp:positionH relativeFrom="page">
                <wp:align>center</wp:align>
              </wp:positionH>
              <wp:positionV relativeFrom="page">
                <wp:align>top</wp:align>
              </wp:positionV>
              <wp:extent cx="1718310" cy="376555"/>
              <wp:effectExtent l="0" t="0" r="15240" b="4445"/>
              <wp:wrapNone/>
              <wp:docPr id="514420372" name="Text Box 2"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18310" cy="376555"/>
                      </a:xfrm>
                      <a:prstGeom prst="rect">
                        <a:avLst/>
                      </a:prstGeom>
                      <a:noFill/>
                      <a:ln>
                        <a:noFill/>
                      </a:ln>
                    </wps:spPr>
                    <wps:txbx>
                      <w:txbxContent>
                        <w:p w14:paraId="7DF1AF31" w14:textId="3BDAF066" w:rsidR="005B4E6B" w:rsidRPr="005B4E6B" w:rsidRDefault="005B4E6B" w:rsidP="005B4E6B">
                          <w:pPr>
                            <w:rPr>
                              <w:rFonts w:ascii="Calibri" w:hAnsi="Calibri" w:cs="Calibri"/>
                              <w:noProof/>
                              <w:color w:val="EEDC00"/>
                            </w:rPr>
                          </w:pPr>
                          <w:r w:rsidRPr="005B4E6B">
                            <w:rPr>
                              <w:rFonts w:ascii="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4256A8" id="_x0000_t202" coordsize="21600,21600" o:spt="202" path="m,l,21600r21600,l21600,xe">
              <v:stroke joinstyle="miter"/>
              <v:path gradientshapeok="t" o:connecttype="rect"/>
            </v:shapetype>
            <v:shape id="Text Box 2" o:spid="_x0000_s1026" type="#_x0000_t202" alt="RMIT Classification: Trusted" style="position:absolute;margin-left:0;margin-top:0;width:135.3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" filled="f" stroked="f">
              <v:textbox style="mso-fit-shape-to-text:t" inset="0,15pt,0,0">
                <w:txbxContent>
                  <w:p w14:paraId="7DF1AF31" w14:textId="3BDAF066" w:rsidR="005B4E6B" w:rsidRPr="005B4E6B" w:rsidRDefault="005B4E6B" w:rsidP="005B4E6B">
                    <w:pPr>
                      <w:rPr>
                        <w:rFonts w:ascii="Calibri" w:hAnsi="Calibri" w:cs="Calibri"/>
                        <w:noProof/>
                        <w:color w:val="EEDC00"/>
                      </w:rPr>
                    </w:pPr>
                    <w:r w:rsidRPr="005B4E6B">
                      <w:rPr>
                        <w:rFonts w:ascii="Calibri" w:hAnsi="Calibri" w:cs="Calibri"/>
                        <w:noProof/>
                        <w:color w:val="EEDC00"/>
                      </w:rPr>
                      <w:t>RMIT Classification: Trusted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49F35" w14:textId="2ED12050" w:rsidR="005B4E6B" w:rsidRDefault="005B4E6B">
    <w:pPr>
      <w:pStyle w:val="Header"/>
    </w:pPr>
    <w:r>
      <w:rPr>
        <w:noProof/>
        <w14:ligatures w14:val="standardContextual"/>
      </w:rPr>
      <mc:AlternateContent>
        <mc:Choice Requires="wps">
          <w:drawing>
            <wp:anchor distT="0" distB="0" distL="0" distR="0" simplePos="0" relativeHeight="251660288" behindDoc="0" locked="0" layoutInCell="1" allowOverlap="1" wp14:anchorId="27D16465" wp14:editId="73A84B6F">
              <wp:simplePos x="914400" y="447675"/>
              <wp:positionH relativeFrom="page">
                <wp:align>center</wp:align>
              </wp:positionH>
              <wp:positionV relativeFrom="page">
                <wp:align>top</wp:align>
              </wp:positionV>
              <wp:extent cx="1718310" cy="376555"/>
              <wp:effectExtent l="0" t="0" r="15240" b="4445"/>
              <wp:wrapNone/>
              <wp:docPr id="516480097" name="Text Box 3"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18310" cy="376555"/>
                      </a:xfrm>
                      <a:prstGeom prst="rect">
                        <a:avLst/>
                      </a:prstGeom>
                      <a:noFill/>
                      <a:ln>
                        <a:noFill/>
                      </a:ln>
                    </wps:spPr>
                    <wps:txbx>
                      <w:txbxContent>
                        <w:p w14:paraId="67ECA407" w14:textId="7C5D8624" w:rsidR="005B4E6B" w:rsidRPr="005B4E6B" w:rsidRDefault="005B4E6B" w:rsidP="005B4E6B">
                          <w:pPr>
                            <w:rPr>
                              <w:rFonts w:ascii="Calibri" w:hAnsi="Calibri" w:cs="Calibri"/>
                              <w:noProof/>
                              <w:color w:val="EEDC00"/>
                            </w:rPr>
                          </w:pPr>
                          <w:r w:rsidRPr="005B4E6B">
                            <w:rPr>
                              <w:rFonts w:ascii="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D16465" id="_x0000_t202" coordsize="21600,21600" o:spt="202" path="m,l,21600r21600,l21600,xe">
              <v:stroke joinstyle="miter"/>
              <v:path gradientshapeok="t" o:connecttype="rect"/>
            </v:shapetype>
            <v:shape id="Text Box 3" o:spid="_x0000_s1027" type="#_x0000_t202" alt="RMIT Classification: Trusted" style="position:absolute;margin-left:0;margin-top:0;width:135.3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" filled="f" stroked="f">
              <v:textbox style="mso-fit-shape-to-text:t" inset="0,15pt,0,0">
                <w:txbxContent>
                  <w:p w14:paraId="67ECA407" w14:textId="7C5D8624" w:rsidR="005B4E6B" w:rsidRPr="005B4E6B" w:rsidRDefault="005B4E6B" w:rsidP="005B4E6B">
                    <w:pPr>
                      <w:rPr>
                        <w:rFonts w:ascii="Calibri" w:hAnsi="Calibri" w:cs="Calibri"/>
                        <w:noProof/>
                        <w:color w:val="EEDC00"/>
                      </w:rPr>
                    </w:pPr>
                    <w:r w:rsidRPr="005B4E6B">
                      <w:rPr>
                        <w:rFonts w:ascii="Calibri" w:hAnsi="Calibri" w:cs="Calibri"/>
                        <w:noProof/>
                        <w:color w:val="EEDC00"/>
                      </w:rPr>
                      <w:t>RMIT Classification: Trusted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365E" w14:textId="7028F2EE" w:rsidR="005B4E6B" w:rsidRDefault="005B4E6B">
    <w:pPr>
      <w:pStyle w:val="Header"/>
    </w:pPr>
    <w:r>
      <w:rPr>
        <w:noProof/>
        <w14:ligatures w14:val="standardContextual"/>
      </w:rPr>
      <mc:AlternateContent>
        <mc:Choice Requires="wps">
          <w:drawing>
            <wp:anchor distT="0" distB="0" distL="0" distR="0" simplePos="0" relativeHeight="251658240" behindDoc="0" locked="0" layoutInCell="1" allowOverlap="1" wp14:anchorId="6DFC8BAB" wp14:editId="53063610">
              <wp:simplePos x="635" y="635"/>
              <wp:positionH relativeFrom="page">
                <wp:align>center</wp:align>
              </wp:positionH>
              <wp:positionV relativeFrom="page">
                <wp:align>top</wp:align>
              </wp:positionV>
              <wp:extent cx="1718310" cy="376555"/>
              <wp:effectExtent l="0" t="0" r="15240" b="4445"/>
              <wp:wrapNone/>
              <wp:docPr id="991760564" name="Text Box 1" descr="RMIT Classification: Trus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718310" cy="376555"/>
                      </a:xfrm>
                      <a:prstGeom prst="rect">
                        <a:avLst/>
                      </a:prstGeom>
                      <a:noFill/>
                      <a:ln>
                        <a:noFill/>
                      </a:ln>
                    </wps:spPr>
                    <wps:txbx>
                      <w:txbxContent>
                        <w:p w14:paraId="32E2A45A" w14:textId="3BC7D94D" w:rsidR="005B4E6B" w:rsidRPr="005B4E6B" w:rsidRDefault="005B4E6B" w:rsidP="005B4E6B">
                          <w:pPr>
                            <w:rPr>
                              <w:rFonts w:ascii="Calibri" w:hAnsi="Calibri" w:cs="Calibri"/>
                              <w:noProof/>
                              <w:color w:val="EEDC00"/>
                            </w:rPr>
                          </w:pPr>
                          <w:r w:rsidRPr="005B4E6B">
                            <w:rPr>
                              <w:rFonts w:ascii="Calibri" w:hAnsi="Calibri" w:cs="Calibri"/>
                              <w:noProof/>
                              <w:color w:val="EEDC00"/>
                            </w:rPr>
                            <w:t>RMIT Classification: Trusted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FC8BAB" id="_x0000_t202" coordsize="21600,21600" o:spt="202" path="m,l,21600r21600,l21600,xe">
              <v:stroke joinstyle="miter"/>
              <v:path gradientshapeok="t" o:connecttype="rect"/>
            </v:shapetype>
            <v:shape id="Text Box 1" o:spid="_x0000_s1028" type="#_x0000_t202" alt="RMIT Classification: Trusted" style="position:absolute;margin-left:0;margin-top:0;width:135.3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" filled="f" stroked="f">
              <v:textbox style="mso-fit-shape-to-text:t" inset="0,15pt,0,0">
                <w:txbxContent>
                  <w:p w14:paraId="32E2A45A" w14:textId="3BC7D94D" w:rsidR="005B4E6B" w:rsidRPr="005B4E6B" w:rsidRDefault="005B4E6B" w:rsidP="005B4E6B">
                    <w:pPr>
                      <w:rPr>
                        <w:rFonts w:ascii="Calibri" w:hAnsi="Calibri" w:cs="Calibri"/>
                        <w:noProof/>
                        <w:color w:val="EEDC00"/>
                      </w:rPr>
                    </w:pPr>
                    <w:r w:rsidRPr="005B4E6B">
                      <w:rPr>
                        <w:rFonts w:ascii="Calibri" w:hAnsi="Calibri" w:cs="Calibri"/>
                        <w:noProof/>
                        <w:color w:val="EEDC00"/>
                      </w:rPr>
                      <w:t>RMIT Classification: Trusted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6B"/>
    <w:rsid w:val="0000059A"/>
    <w:rsid w:val="00043DE6"/>
    <w:rsid w:val="00060D8A"/>
    <w:rsid w:val="0008082B"/>
    <w:rsid w:val="0009565B"/>
    <w:rsid w:val="000F6F9B"/>
    <w:rsid w:val="001211DE"/>
    <w:rsid w:val="0016052B"/>
    <w:rsid w:val="001647ED"/>
    <w:rsid w:val="00201908"/>
    <w:rsid w:val="0020390F"/>
    <w:rsid w:val="00206A3B"/>
    <w:rsid w:val="00241BE7"/>
    <w:rsid w:val="00271A1F"/>
    <w:rsid w:val="00284BDB"/>
    <w:rsid w:val="00286C01"/>
    <w:rsid w:val="002B7AB8"/>
    <w:rsid w:val="00307D0D"/>
    <w:rsid w:val="00333E79"/>
    <w:rsid w:val="0034302E"/>
    <w:rsid w:val="00346355"/>
    <w:rsid w:val="00346870"/>
    <w:rsid w:val="003C4754"/>
    <w:rsid w:val="00490F03"/>
    <w:rsid w:val="004C4A84"/>
    <w:rsid w:val="004E17AB"/>
    <w:rsid w:val="004F7737"/>
    <w:rsid w:val="00505032"/>
    <w:rsid w:val="00586F8A"/>
    <w:rsid w:val="005A4382"/>
    <w:rsid w:val="005B4E6B"/>
    <w:rsid w:val="005B7912"/>
    <w:rsid w:val="005D377F"/>
    <w:rsid w:val="005E6AC9"/>
    <w:rsid w:val="005F1AFA"/>
    <w:rsid w:val="006129C6"/>
    <w:rsid w:val="00650B1A"/>
    <w:rsid w:val="00676AF9"/>
    <w:rsid w:val="006E7AF1"/>
    <w:rsid w:val="00703625"/>
    <w:rsid w:val="007365F2"/>
    <w:rsid w:val="007904AA"/>
    <w:rsid w:val="0079622D"/>
    <w:rsid w:val="007F3D7A"/>
    <w:rsid w:val="00810BE0"/>
    <w:rsid w:val="008404AB"/>
    <w:rsid w:val="00867F15"/>
    <w:rsid w:val="00882285"/>
    <w:rsid w:val="008979ED"/>
    <w:rsid w:val="008A4B6B"/>
    <w:rsid w:val="00902781"/>
    <w:rsid w:val="009059D8"/>
    <w:rsid w:val="00942852"/>
    <w:rsid w:val="0097618A"/>
    <w:rsid w:val="009D29AD"/>
    <w:rsid w:val="009E7841"/>
    <w:rsid w:val="00A020B6"/>
    <w:rsid w:val="00A03740"/>
    <w:rsid w:val="00A439AB"/>
    <w:rsid w:val="00A65B6A"/>
    <w:rsid w:val="00AE2A4D"/>
    <w:rsid w:val="00B47FC3"/>
    <w:rsid w:val="00B90DA7"/>
    <w:rsid w:val="00BD5CF2"/>
    <w:rsid w:val="00BF17C2"/>
    <w:rsid w:val="00BF3E15"/>
    <w:rsid w:val="00C26801"/>
    <w:rsid w:val="00C33788"/>
    <w:rsid w:val="00C541BF"/>
    <w:rsid w:val="00C6091A"/>
    <w:rsid w:val="00CC2394"/>
    <w:rsid w:val="00D60EED"/>
    <w:rsid w:val="00DC35B4"/>
    <w:rsid w:val="00DC7419"/>
    <w:rsid w:val="00DE35D4"/>
    <w:rsid w:val="00E25E65"/>
    <w:rsid w:val="00E2686B"/>
    <w:rsid w:val="00E44BDA"/>
    <w:rsid w:val="00E45C9D"/>
    <w:rsid w:val="00E45FAF"/>
    <w:rsid w:val="00E667F0"/>
    <w:rsid w:val="00E66F2F"/>
    <w:rsid w:val="00E81B13"/>
    <w:rsid w:val="00E87A7B"/>
    <w:rsid w:val="00F0221D"/>
    <w:rsid w:val="00F158A9"/>
    <w:rsid w:val="00FD23AB"/>
    <w:rsid w:val="00FF25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56C9"/>
  <w15:chartTrackingRefBased/>
  <w15:docId w15:val="{87918471-4139-41C6-9F08-7F960BDB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E6B"/>
    <w:pPr>
      <w:spacing w:after="0" w:line="240" w:lineRule="auto"/>
    </w:pPr>
    <w:rPr>
      <w:rFonts w:ascii="Times New Roman" w:eastAsia="Calibri" w:hAnsi="Times New Roman" w:cs="Times New Roman"/>
      <w:color w:val="00000A"/>
      <w:kern w:val="0"/>
      <w:sz w:val="24"/>
      <w:szCs w:val="24"/>
      <w:lang w:eastAsia="en-AU"/>
      <w14:ligatures w14:val="none"/>
    </w:rPr>
  </w:style>
  <w:style w:type="paragraph" w:styleId="Heading1">
    <w:name w:val="heading 1"/>
    <w:basedOn w:val="Normal"/>
    <w:next w:val="Normal"/>
    <w:link w:val="Heading1Char"/>
    <w:uiPriority w:val="9"/>
    <w:qFormat/>
    <w:rsid w:val="005B4E6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B4E6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B4E6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B4E6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5B4E6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5B4E6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5B4E6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5B4E6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5B4E6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E6B"/>
    <w:rPr>
      <w:rFonts w:eastAsiaTheme="majorEastAsia" w:cstheme="majorBidi"/>
      <w:color w:val="272727" w:themeColor="text1" w:themeTint="D8"/>
    </w:rPr>
  </w:style>
  <w:style w:type="paragraph" w:styleId="Title">
    <w:name w:val="Title"/>
    <w:basedOn w:val="Normal"/>
    <w:next w:val="Normal"/>
    <w:link w:val="TitleChar"/>
    <w:uiPriority w:val="10"/>
    <w:qFormat/>
    <w:rsid w:val="005B4E6B"/>
    <w:pPr>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B4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E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B4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E6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5B4E6B"/>
    <w:rPr>
      <w:i/>
      <w:iCs/>
      <w:color w:val="404040" w:themeColor="text1" w:themeTint="BF"/>
    </w:rPr>
  </w:style>
  <w:style w:type="paragraph" w:styleId="ListParagraph">
    <w:name w:val="List Paragraph"/>
    <w:basedOn w:val="Normal"/>
    <w:uiPriority w:val="34"/>
    <w:qFormat/>
    <w:rsid w:val="005B4E6B"/>
    <w:pPr>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IntenseEmphasis">
    <w:name w:val="Intense Emphasis"/>
    <w:basedOn w:val="DefaultParagraphFont"/>
    <w:uiPriority w:val="21"/>
    <w:qFormat/>
    <w:rsid w:val="005B4E6B"/>
    <w:rPr>
      <w:i/>
      <w:iCs/>
      <w:color w:val="0F4761" w:themeColor="accent1" w:themeShade="BF"/>
    </w:rPr>
  </w:style>
  <w:style w:type="paragraph" w:styleId="IntenseQuote">
    <w:name w:val="Intense Quote"/>
    <w:basedOn w:val="Normal"/>
    <w:next w:val="Normal"/>
    <w:link w:val="IntenseQuoteChar"/>
    <w:uiPriority w:val="30"/>
    <w:qFormat/>
    <w:rsid w:val="005B4E6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5B4E6B"/>
    <w:rPr>
      <w:i/>
      <w:iCs/>
      <w:color w:val="0F4761" w:themeColor="accent1" w:themeShade="BF"/>
    </w:rPr>
  </w:style>
  <w:style w:type="character" w:styleId="IntenseReference">
    <w:name w:val="Intense Reference"/>
    <w:basedOn w:val="DefaultParagraphFont"/>
    <w:uiPriority w:val="32"/>
    <w:qFormat/>
    <w:rsid w:val="005B4E6B"/>
    <w:rPr>
      <w:b/>
      <w:bCs/>
      <w:smallCaps/>
      <w:color w:val="0F4761" w:themeColor="accent1" w:themeShade="BF"/>
      <w:spacing w:val="5"/>
    </w:rPr>
  </w:style>
  <w:style w:type="character" w:styleId="Hyperlink">
    <w:name w:val="Hyperlink"/>
    <w:basedOn w:val="DefaultParagraphFont"/>
    <w:uiPriority w:val="99"/>
    <w:unhideWhenUsed/>
    <w:rsid w:val="005B4E6B"/>
    <w:rPr>
      <w:color w:val="467886" w:themeColor="hyperlink"/>
      <w:u w:val="single"/>
    </w:rPr>
  </w:style>
  <w:style w:type="table" w:styleId="TableGrid">
    <w:name w:val="Table Grid"/>
    <w:basedOn w:val="TableNormal"/>
    <w:uiPriority w:val="39"/>
    <w:rsid w:val="005B4E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E6B"/>
    <w:pPr>
      <w:tabs>
        <w:tab w:val="center" w:pos="4513"/>
        <w:tab w:val="right" w:pos="9026"/>
      </w:tabs>
    </w:pPr>
  </w:style>
  <w:style w:type="character" w:customStyle="1" w:styleId="HeaderChar">
    <w:name w:val="Header Char"/>
    <w:basedOn w:val="DefaultParagraphFont"/>
    <w:link w:val="Header"/>
    <w:uiPriority w:val="99"/>
    <w:rsid w:val="005B4E6B"/>
    <w:rPr>
      <w:rFonts w:ascii="Times New Roman" w:eastAsia="Calibri" w:hAnsi="Times New Roman" w:cs="Times New Roman"/>
      <w:color w:val="00000A"/>
      <w:kern w:val="0"/>
      <w:sz w:val="24"/>
      <w:szCs w:val="24"/>
      <w:lang w:eastAsia="en-AU"/>
      <w14:ligatures w14:val="none"/>
    </w:rPr>
  </w:style>
  <w:style w:type="character" w:styleId="UnresolvedMention">
    <w:name w:val="Unresolved Mention"/>
    <w:basedOn w:val="DefaultParagraphFont"/>
    <w:uiPriority w:val="99"/>
    <w:semiHidden/>
    <w:unhideWhenUsed/>
    <w:rsid w:val="00D60EED"/>
    <w:rPr>
      <w:color w:val="605E5C"/>
      <w:shd w:val="clear" w:color="auto" w:fill="E1DFDD"/>
    </w:rPr>
  </w:style>
  <w:style w:type="character" w:styleId="FollowedHyperlink">
    <w:name w:val="FollowedHyperlink"/>
    <w:basedOn w:val="DefaultParagraphFont"/>
    <w:uiPriority w:val="99"/>
    <w:semiHidden/>
    <w:unhideWhenUsed/>
    <w:rsid w:val="00C33788"/>
    <w:rPr>
      <w:color w:val="96607D" w:themeColor="followedHyperlink"/>
      <w:u w:val="single"/>
    </w:rPr>
  </w:style>
  <w:style w:type="paragraph" w:styleId="Revision">
    <w:name w:val="Revision"/>
    <w:hidden/>
    <w:uiPriority w:val="99"/>
    <w:semiHidden/>
    <w:rsid w:val="004F7737"/>
    <w:pPr>
      <w:spacing w:after="0" w:line="240" w:lineRule="auto"/>
    </w:pPr>
    <w:rPr>
      <w:rFonts w:ascii="Times New Roman" w:eastAsia="Calibri" w:hAnsi="Times New Roman" w:cs="Times New Roman"/>
      <w:color w:val="00000A"/>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205757">
      <w:bodyDiv w:val="1"/>
      <w:marLeft w:val="0"/>
      <w:marRight w:val="0"/>
      <w:marTop w:val="0"/>
      <w:marBottom w:val="0"/>
      <w:divBdr>
        <w:top w:val="none" w:sz="0" w:space="0" w:color="auto"/>
        <w:left w:val="none" w:sz="0" w:space="0" w:color="auto"/>
        <w:bottom w:val="none" w:sz="0" w:space="0" w:color="auto"/>
        <w:right w:val="none" w:sz="0" w:space="0" w:color="auto"/>
      </w:divBdr>
    </w:div>
    <w:div w:id="12476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rix-inst.org.au/research-investment-and-expenditure-into-the-mathematical-sciences-updat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matrix-inst.org.au/research-investment-and-expenditure-into-the-mathematical-sciences-update/" TargetMode="External"/><Relationship Id="rId12" Type="http://schemas.openxmlformats.org/officeDocument/2006/relationships/hyperlink" Target="https://www.matrix-inst.org.au/research-investment-and-expenditure-into-the-mathematical-sciences-updat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ocao.org" TargetMode="External"/><Relationship Id="rId11" Type="http://schemas.openxmlformats.org/officeDocument/2006/relationships/hyperlink" Target="https://www.matrix-inst.org.au/research-investment-and-expenditure-into-the-mathematical-sciences-update/"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s://www.arc.gov.au/funding-research/funding-outcome/grants-datase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c3d088b-6243-4963-a2e2-8b321ab7f8fc}" enabled="1" method="Standard" siteId="{d1323671-cdbe-4417-b4d4-bdb24b51316b}"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RMIT University</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Eberhard</dc:creator>
  <cp:keywords/>
  <dc:description/>
  <cp:lastModifiedBy>Andrew Eberhard</cp:lastModifiedBy>
  <cp:revision>2</cp:revision>
  <dcterms:created xsi:type="dcterms:W3CDTF">2024-11-15T03:02:00Z</dcterms:created>
  <dcterms:modified xsi:type="dcterms:W3CDTF">2024-11-15T03:02:00Z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3b1d10b4,1ea96e94,1ec8dc61</vt:lpwstr>
  </property>
  <property fmtid="{D5CDD505-2E9C-101B-9397-08002B2CF9AE}" pid="3" name="ClassificationContentMarkingHeaderFontProps">
    <vt:lpwstr>#eedc00,12,Calibri</vt:lpwstr>
  </property>
  <property fmtid="{D5CDD505-2E9C-101B-9397-08002B2CF9AE}" pid="4" name="ClassificationContentMarkingHeaderText">
    <vt:lpwstr>RMIT Classification: Trusted</vt:lpwstr>
  </property>
  <property fmtid="{D5CDD505-2E9C-101B-9397-08002B2CF9AE}" pid="5" name="MSIP_Label_8c3d088b-6243-4963-a2e2-8b321ab7f8fc_Enabled">
    <vt:lpwstr>true</vt:lpwstr>
  </property>
  <property fmtid="{D5CDD505-2E9C-101B-9397-08002B2CF9AE}" pid="6" name="MSIP_Label_8c3d088b-6243-4963-a2e2-8b321ab7f8fc_SetDate">
    <vt:lpwstr>2024-05-19T23:28:25Z</vt:lpwstr>
  </property>
  <property fmtid="{D5CDD505-2E9C-101B-9397-08002B2CF9AE}" pid="7" name="MSIP_Label_8c3d088b-6243-4963-a2e2-8b321ab7f8fc_Method">
    <vt:lpwstr>Standard</vt:lpwstr>
  </property>
  <property fmtid="{D5CDD505-2E9C-101B-9397-08002B2CF9AE}" pid="8" name="MSIP_Label_8c3d088b-6243-4963-a2e2-8b321ab7f8fc_Name">
    <vt:lpwstr>Trusted</vt:lpwstr>
  </property>
  <property fmtid="{D5CDD505-2E9C-101B-9397-08002B2CF9AE}" pid="9" name="MSIP_Label_8c3d088b-6243-4963-a2e2-8b321ab7f8fc_SiteId">
    <vt:lpwstr>d1323671-cdbe-4417-b4d4-bdb24b51316b</vt:lpwstr>
  </property>
  <property fmtid="{D5CDD505-2E9C-101B-9397-08002B2CF9AE}" pid="10" name="MSIP_Label_8c3d088b-6243-4963-a2e2-8b321ab7f8fc_ActionId">
    <vt:lpwstr>6b44ac35-f575-42c2-8c8a-81ae1e59f6d5</vt:lpwstr>
  </property>
  <property fmtid="{D5CDD505-2E9C-101B-9397-08002B2CF9AE}" pid="11" name="MSIP_Label_8c3d088b-6243-4963-a2e2-8b321ab7f8fc_ContentBits">
    <vt:lpwstr>1</vt:lpwstr>
  </property>
</Properties>
</file>